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71DBB" w14:textId="4E0A0D4A" w:rsidR="00BD532E" w:rsidRDefault="000D5B13" w:rsidP="00207110">
      <w:pPr>
        <w:pStyle w:val="Title"/>
      </w:pPr>
      <w:r w:rsidRPr="00207110">
        <w:t>Student</w:t>
      </w:r>
      <w:r w:rsidR="005415D6" w:rsidRPr="00207110">
        <w:t xml:space="preserve"> </w:t>
      </w:r>
      <w:r w:rsidR="00207110" w:rsidRPr="00207110">
        <w:t xml:space="preserve">Accommodation </w:t>
      </w:r>
      <w:r w:rsidR="00BD532E" w:rsidRPr="00207110">
        <w:t>Appeal Process</w:t>
      </w:r>
      <w:r w:rsidR="00B46714">
        <w:t xml:space="preserve"> and Guidance</w:t>
      </w:r>
    </w:p>
    <w:p w14:paraId="1A37885F" w14:textId="29FB4707" w:rsidR="005326EF" w:rsidRPr="005326EF" w:rsidRDefault="005326EF" w:rsidP="00B46714">
      <w:pPr>
        <w:spacing w:before="240"/>
      </w:pPr>
      <w:r w:rsidRPr="009E2493">
        <w:t xml:space="preserve">If you have received a decision email or letter from the </w:t>
      </w:r>
      <w:r w:rsidR="00B46714">
        <w:t>CDR</w:t>
      </w:r>
      <w:r w:rsidRPr="009E2493">
        <w:t xml:space="preserve"> not approving your accommodation request, you may appeal the decision by following the process below.</w:t>
      </w:r>
    </w:p>
    <w:p w14:paraId="6E2C6D57" w14:textId="77777777" w:rsidR="00BD532E" w:rsidRPr="00207110" w:rsidRDefault="00BD532E" w:rsidP="00207110">
      <w:pPr>
        <w:pStyle w:val="Heading1"/>
      </w:pPr>
      <w:proofErr w:type="gramStart"/>
      <w:r w:rsidRPr="00207110">
        <w:t>Inquire</w:t>
      </w:r>
      <w:proofErr w:type="gramEnd"/>
      <w:r w:rsidRPr="00207110">
        <w:t xml:space="preserve"> About Appeal</w:t>
      </w:r>
    </w:p>
    <w:p w14:paraId="74DFD795" w14:textId="71BD5B57" w:rsidR="00F869C3" w:rsidRDefault="005A5441" w:rsidP="009D0EF9">
      <w:pPr>
        <w:pStyle w:val="Heading2"/>
      </w:pPr>
      <w:r w:rsidRPr="009D0EF9">
        <w:t xml:space="preserve">1. </w:t>
      </w:r>
      <w:r w:rsidR="00F869C3">
        <w:t>Timing</w:t>
      </w:r>
    </w:p>
    <w:p w14:paraId="48859E8C" w14:textId="2E76E353" w:rsidR="00F869C3" w:rsidRPr="00F869C3" w:rsidRDefault="00717223" w:rsidP="00F869C3">
      <w:pPr>
        <w:pStyle w:val="Heading2"/>
        <w:numPr>
          <w:ilvl w:val="0"/>
          <w:numId w:val="10"/>
        </w:numPr>
        <w:rPr>
          <w:rFonts w:ascii="Arial" w:hAnsi="Arial" w:cs="Arial"/>
          <w:b w:val="0"/>
          <w:bCs w:val="0"/>
          <w:sz w:val="24"/>
          <w:szCs w:val="24"/>
        </w:rPr>
      </w:pPr>
      <w:r w:rsidRPr="00F869C3">
        <w:rPr>
          <w:rFonts w:ascii="Arial" w:hAnsi="Arial" w:cs="Arial"/>
          <w:b w:val="0"/>
          <w:bCs w:val="0"/>
          <w:sz w:val="24"/>
          <w:szCs w:val="24"/>
        </w:rPr>
        <w:t xml:space="preserve">Appeals of </w:t>
      </w:r>
      <w:r w:rsidR="00F869C3" w:rsidRPr="00F869C3">
        <w:rPr>
          <w:rFonts w:ascii="Arial" w:hAnsi="Arial" w:cs="Arial"/>
          <w:b w:val="0"/>
          <w:bCs w:val="0"/>
          <w:sz w:val="24"/>
          <w:szCs w:val="24"/>
        </w:rPr>
        <w:t xml:space="preserve">Center for Disability Resources (CDR) </w:t>
      </w:r>
      <w:r w:rsidRPr="00F869C3">
        <w:rPr>
          <w:rFonts w:ascii="Arial" w:hAnsi="Arial" w:cs="Arial"/>
          <w:b w:val="0"/>
          <w:bCs w:val="0"/>
          <w:sz w:val="24"/>
          <w:szCs w:val="24"/>
        </w:rPr>
        <w:t>accommodation decisions must be initiated</w:t>
      </w:r>
      <w:r w:rsidR="00D46064">
        <w:rPr>
          <w:rFonts w:ascii="Arial" w:hAnsi="Arial" w:cs="Arial"/>
          <w:b w:val="0"/>
          <w:bCs w:val="0"/>
          <w:sz w:val="24"/>
          <w:szCs w:val="24"/>
        </w:rPr>
        <w:t>, and a valid appeal basis</w:t>
      </w:r>
      <w:r w:rsidRPr="00F869C3">
        <w:rPr>
          <w:rFonts w:ascii="Arial" w:hAnsi="Arial" w:cs="Arial"/>
          <w:b w:val="0"/>
          <w:bCs w:val="0"/>
          <w:sz w:val="24"/>
          <w:szCs w:val="24"/>
        </w:rPr>
        <w:t xml:space="preserve"> </w:t>
      </w:r>
      <w:r w:rsidR="00D46064">
        <w:rPr>
          <w:rFonts w:ascii="Arial" w:hAnsi="Arial" w:cs="Arial"/>
          <w:b w:val="0"/>
          <w:bCs w:val="0"/>
          <w:sz w:val="24"/>
          <w:szCs w:val="24"/>
        </w:rPr>
        <w:t xml:space="preserve">confirmed, </w:t>
      </w:r>
      <w:r w:rsidRPr="00F869C3">
        <w:rPr>
          <w:rFonts w:ascii="Arial" w:hAnsi="Arial" w:cs="Arial"/>
          <w:b w:val="0"/>
          <w:bCs w:val="0"/>
          <w:sz w:val="24"/>
          <w:szCs w:val="24"/>
        </w:rPr>
        <w:t>within 30 days of the CDR decision.</w:t>
      </w:r>
      <w:r w:rsidR="009A7700" w:rsidRPr="00F869C3">
        <w:rPr>
          <w:rFonts w:ascii="Arial" w:hAnsi="Arial" w:cs="Arial"/>
          <w:b w:val="0"/>
          <w:bCs w:val="0"/>
          <w:sz w:val="24"/>
          <w:szCs w:val="24"/>
        </w:rPr>
        <w:t xml:space="preserve"> </w:t>
      </w:r>
    </w:p>
    <w:p w14:paraId="2FF30D80" w14:textId="21253FC0" w:rsidR="00F869C3" w:rsidRPr="00F869C3" w:rsidRDefault="00F869C3" w:rsidP="00F869C3">
      <w:pPr>
        <w:pStyle w:val="Heading2"/>
        <w:numPr>
          <w:ilvl w:val="0"/>
          <w:numId w:val="10"/>
        </w:numPr>
        <w:rPr>
          <w:rFonts w:ascii="Arial" w:hAnsi="Arial" w:cs="Arial"/>
          <w:b w:val="0"/>
          <w:bCs w:val="0"/>
          <w:sz w:val="24"/>
          <w:szCs w:val="24"/>
        </w:rPr>
      </w:pPr>
      <w:r w:rsidRPr="00F869C3">
        <w:rPr>
          <w:rFonts w:ascii="Arial" w:hAnsi="Arial" w:cs="Arial"/>
          <w:b w:val="0"/>
          <w:bCs w:val="0"/>
          <w:sz w:val="24"/>
          <w:szCs w:val="24"/>
        </w:rPr>
        <w:t>Additionally</w:t>
      </w:r>
      <w:r>
        <w:rPr>
          <w:rFonts w:ascii="Arial" w:hAnsi="Arial" w:cs="Arial"/>
          <w:b w:val="0"/>
          <w:bCs w:val="0"/>
          <w:sz w:val="24"/>
          <w:szCs w:val="24"/>
        </w:rPr>
        <w:t xml:space="preserve">, regarding </w:t>
      </w:r>
      <w:r w:rsidRPr="00F869C3">
        <w:rPr>
          <w:rFonts w:ascii="Arial" w:hAnsi="Arial" w:cs="Arial"/>
          <w:b w:val="0"/>
          <w:bCs w:val="0"/>
          <w:sz w:val="24"/>
          <w:szCs w:val="24"/>
        </w:rPr>
        <w:t>Fall Housing</w:t>
      </w:r>
      <w:r>
        <w:rPr>
          <w:rFonts w:ascii="Arial" w:hAnsi="Arial" w:cs="Arial"/>
          <w:b w:val="0"/>
          <w:bCs w:val="0"/>
          <w:sz w:val="24"/>
          <w:szCs w:val="24"/>
        </w:rPr>
        <w:t>:</w:t>
      </w:r>
    </w:p>
    <w:p w14:paraId="0A794089" w14:textId="7D585DEC" w:rsidR="00F869C3" w:rsidRPr="00F869C3" w:rsidRDefault="00F869C3" w:rsidP="00F869C3">
      <w:pPr>
        <w:pStyle w:val="Heading2"/>
        <w:numPr>
          <w:ilvl w:val="1"/>
          <w:numId w:val="10"/>
        </w:numPr>
        <w:rPr>
          <w:rFonts w:ascii="Arial" w:hAnsi="Arial" w:cs="Arial"/>
          <w:b w:val="0"/>
          <w:bCs w:val="0"/>
          <w:sz w:val="24"/>
          <w:szCs w:val="24"/>
        </w:rPr>
      </w:pPr>
      <w:r w:rsidRPr="00F869C3">
        <w:rPr>
          <w:rFonts w:ascii="Arial" w:hAnsi="Arial" w:cs="Arial"/>
          <w:b w:val="0"/>
          <w:bCs w:val="0"/>
          <w:sz w:val="24"/>
          <w:szCs w:val="24"/>
        </w:rPr>
        <w:t xml:space="preserve">For rising sophomores, </w:t>
      </w:r>
      <w:r w:rsidR="009A7700" w:rsidRPr="00F869C3">
        <w:rPr>
          <w:rFonts w:ascii="Arial" w:hAnsi="Arial" w:cs="Arial"/>
          <w:b w:val="0"/>
          <w:bCs w:val="0"/>
          <w:sz w:val="24"/>
          <w:szCs w:val="24"/>
        </w:rPr>
        <w:t>appeals must also be initiated</w:t>
      </w:r>
      <w:r w:rsidR="00D46064">
        <w:rPr>
          <w:rFonts w:ascii="Arial" w:hAnsi="Arial" w:cs="Arial"/>
          <w:b w:val="0"/>
          <w:bCs w:val="0"/>
          <w:sz w:val="24"/>
          <w:szCs w:val="24"/>
        </w:rPr>
        <w:t>, and a valid appeal basis</w:t>
      </w:r>
      <w:r w:rsidR="00D46064" w:rsidRPr="00F869C3">
        <w:rPr>
          <w:rFonts w:ascii="Arial" w:hAnsi="Arial" w:cs="Arial"/>
          <w:b w:val="0"/>
          <w:bCs w:val="0"/>
          <w:sz w:val="24"/>
          <w:szCs w:val="24"/>
        </w:rPr>
        <w:t xml:space="preserve"> </w:t>
      </w:r>
      <w:r w:rsidR="00D46064">
        <w:rPr>
          <w:rFonts w:ascii="Arial" w:hAnsi="Arial" w:cs="Arial"/>
          <w:b w:val="0"/>
          <w:bCs w:val="0"/>
          <w:sz w:val="24"/>
          <w:szCs w:val="24"/>
        </w:rPr>
        <w:t>confirmed,</w:t>
      </w:r>
      <w:r w:rsidR="009A7700" w:rsidRPr="00F869C3">
        <w:rPr>
          <w:rFonts w:ascii="Arial" w:hAnsi="Arial" w:cs="Arial"/>
          <w:b w:val="0"/>
          <w:bCs w:val="0"/>
          <w:sz w:val="24"/>
          <w:szCs w:val="24"/>
        </w:rPr>
        <w:t xml:space="preserve"> with</w:t>
      </w:r>
      <w:r w:rsidRPr="00F869C3">
        <w:rPr>
          <w:rFonts w:ascii="Arial" w:hAnsi="Arial" w:cs="Arial"/>
          <w:b w:val="0"/>
          <w:bCs w:val="0"/>
          <w:sz w:val="24"/>
          <w:szCs w:val="24"/>
        </w:rPr>
        <w:t>in 45</w:t>
      </w:r>
      <w:r w:rsidR="009A7700" w:rsidRPr="00F869C3">
        <w:rPr>
          <w:rFonts w:ascii="Arial" w:hAnsi="Arial" w:cs="Arial"/>
          <w:b w:val="0"/>
          <w:bCs w:val="0"/>
          <w:sz w:val="24"/>
          <w:szCs w:val="24"/>
        </w:rPr>
        <w:t xml:space="preserve"> days of the </w:t>
      </w:r>
      <w:r w:rsidRPr="00F869C3">
        <w:rPr>
          <w:rFonts w:ascii="Arial" w:hAnsi="Arial" w:cs="Arial"/>
          <w:b w:val="0"/>
          <w:bCs w:val="0"/>
          <w:sz w:val="24"/>
          <w:szCs w:val="24"/>
        </w:rPr>
        <w:t>March 1</w:t>
      </w:r>
      <w:r w:rsidR="005B125F">
        <w:rPr>
          <w:rFonts w:ascii="Arial" w:hAnsi="Arial" w:cs="Arial"/>
          <w:b w:val="0"/>
          <w:bCs w:val="0"/>
          <w:sz w:val="24"/>
          <w:szCs w:val="24"/>
        </w:rPr>
        <w:t xml:space="preserve"> (First)</w:t>
      </w:r>
      <w:r w:rsidRPr="00F869C3">
        <w:rPr>
          <w:rFonts w:ascii="Arial" w:hAnsi="Arial" w:cs="Arial"/>
          <w:b w:val="0"/>
          <w:bCs w:val="0"/>
          <w:sz w:val="24"/>
          <w:szCs w:val="24"/>
        </w:rPr>
        <w:t xml:space="preserve"> CDR </w:t>
      </w:r>
      <w:r w:rsidR="009A7700" w:rsidRPr="00F869C3">
        <w:rPr>
          <w:rFonts w:ascii="Arial" w:hAnsi="Arial" w:cs="Arial"/>
          <w:b w:val="0"/>
          <w:bCs w:val="0"/>
          <w:sz w:val="24"/>
          <w:szCs w:val="24"/>
        </w:rPr>
        <w:t>housing accommodation request deadline</w:t>
      </w:r>
      <w:r w:rsidRPr="00F869C3">
        <w:rPr>
          <w:rFonts w:ascii="Arial" w:hAnsi="Arial" w:cs="Arial"/>
          <w:b w:val="0"/>
          <w:bCs w:val="0"/>
          <w:sz w:val="24"/>
          <w:szCs w:val="24"/>
        </w:rPr>
        <w:t>.</w:t>
      </w:r>
    </w:p>
    <w:p w14:paraId="73E8B37C" w14:textId="0DE67007" w:rsidR="00F869C3" w:rsidRPr="00F869C3" w:rsidRDefault="00F869C3" w:rsidP="00F869C3">
      <w:pPr>
        <w:pStyle w:val="Heading2"/>
        <w:numPr>
          <w:ilvl w:val="1"/>
          <w:numId w:val="10"/>
        </w:numPr>
        <w:rPr>
          <w:rFonts w:ascii="Arial" w:hAnsi="Arial" w:cs="Arial"/>
          <w:b w:val="0"/>
          <w:bCs w:val="0"/>
          <w:sz w:val="24"/>
          <w:szCs w:val="24"/>
        </w:rPr>
      </w:pPr>
      <w:r w:rsidRPr="00F869C3">
        <w:rPr>
          <w:rFonts w:ascii="Arial" w:hAnsi="Arial" w:cs="Arial"/>
          <w:b w:val="0"/>
          <w:bCs w:val="0"/>
          <w:sz w:val="24"/>
          <w:szCs w:val="24"/>
        </w:rPr>
        <w:t>F</w:t>
      </w:r>
      <w:r w:rsidR="009A7700" w:rsidRPr="00F869C3">
        <w:rPr>
          <w:rFonts w:ascii="Arial" w:hAnsi="Arial" w:cs="Arial"/>
          <w:b w:val="0"/>
          <w:bCs w:val="0"/>
          <w:sz w:val="24"/>
          <w:szCs w:val="24"/>
        </w:rPr>
        <w:t xml:space="preserve">or </w:t>
      </w:r>
      <w:r w:rsidRPr="00F869C3">
        <w:rPr>
          <w:rFonts w:ascii="Arial" w:hAnsi="Arial" w:cs="Arial"/>
          <w:b w:val="0"/>
          <w:bCs w:val="0"/>
          <w:sz w:val="24"/>
          <w:szCs w:val="24"/>
        </w:rPr>
        <w:t>incoming first-year</w:t>
      </w:r>
      <w:r w:rsidR="009A7700" w:rsidRPr="00F869C3">
        <w:rPr>
          <w:rFonts w:ascii="Arial" w:hAnsi="Arial" w:cs="Arial"/>
          <w:b w:val="0"/>
          <w:bCs w:val="0"/>
          <w:sz w:val="24"/>
          <w:szCs w:val="24"/>
        </w:rPr>
        <w:t xml:space="preserve"> students, </w:t>
      </w:r>
      <w:r w:rsidRPr="00F869C3">
        <w:rPr>
          <w:rFonts w:ascii="Arial" w:hAnsi="Arial" w:cs="Arial"/>
          <w:b w:val="0"/>
          <w:bCs w:val="0"/>
          <w:sz w:val="24"/>
          <w:szCs w:val="24"/>
        </w:rPr>
        <w:t>appeals must also be initiated</w:t>
      </w:r>
      <w:r w:rsidR="00D46064">
        <w:rPr>
          <w:rFonts w:ascii="Arial" w:hAnsi="Arial" w:cs="Arial"/>
          <w:b w:val="0"/>
          <w:bCs w:val="0"/>
          <w:sz w:val="24"/>
          <w:szCs w:val="24"/>
        </w:rPr>
        <w:t>, and a valid appeal basis</w:t>
      </w:r>
      <w:r w:rsidR="00D46064" w:rsidRPr="00F869C3">
        <w:rPr>
          <w:rFonts w:ascii="Arial" w:hAnsi="Arial" w:cs="Arial"/>
          <w:b w:val="0"/>
          <w:bCs w:val="0"/>
          <w:sz w:val="24"/>
          <w:szCs w:val="24"/>
        </w:rPr>
        <w:t xml:space="preserve"> </w:t>
      </w:r>
      <w:r w:rsidR="00D46064">
        <w:rPr>
          <w:rFonts w:ascii="Arial" w:hAnsi="Arial" w:cs="Arial"/>
          <w:b w:val="0"/>
          <w:bCs w:val="0"/>
          <w:sz w:val="24"/>
          <w:szCs w:val="24"/>
        </w:rPr>
        <w:t>confirmed,</w:t>
      </w:r>
      <w:r w:rsidRPr="00F869C3">
        <w:rPr>
          <w:rFonts w:ascii="Arial" w:hAnsi="Arial" w:cs="Arial"/>
          <w:b w:val="0"/>
          <w:bCs w:val="0"/>
          <w:sz w:val="24"/>
          <w:szCs w:val="24"/>
        </w:rPr>
        <w:t xml:space="preserve"> within 45 days of the June 1</w:t>
      </w:r>
      <w:r w:rsidR="005B125F">
        <w:rPr>
          <w:rFonts w:ascii="Arial" w:hAnsi="Arial" w:cs="Arial"/>
          <w:b w:val="0"/>
          <w:bCs w:val="0"/>
          <w:sz w:val="24"/>
          <w:szCs w:val="24"/>
        </w:rPr>
        <w:t xml:space="preserve"> (First)</w:t>
      </w:r>
      <w:r w:rsidRPr="00F869C3">
        <w:rPr>
          <w:rFonts w:ascii="Arial" w:hAnsi="Arial" w:cs="Arial"/>
          <w:b w:val="0"/>
          <w:bCs w:val="0"/>
          <w:sz w:val="24"/>
          <w:szCs w:val="24"/>
        </w:rPr>
        <w:t xml:space="preserve"> CDR housing accommodation request deadline.</w:t>
      </w:r>
    </w:p>
    <w:p w14:paraId="6BCF4F7E" w14:textId="1D1AE7A5" w:rsidR="00717223" w:rsidRPr="00F869C3" w:rsidRDefault="00F869C3" w:rsidP="00F869C3">
      <w:pPr>
        <w:pStyle w:val="Heading2"/>
        <w:numPr>
          <w:ilvl w:val="1"/>
          <w:numId w:val="10"/>
        </w:numPr>
        <w:rPr>
          <w:rFonts w:ascii="Arial" w:hAnsi="Arial" w:cs="Arial"/>
          <w:b w:val="0"/>
          <w:bCs w:val="0"/>
          <w:sz w:val="24"/>
          <w:szCs w:val="24"/>
        </w:rPr>
      </w:pPr>
      <w:r w:rsidRPr="00F869C3">
        <w:rPr>
          <w:rFonts w:ascii="Arial" w:hAnsi="Arial" w:cs="Arial"/>
          <w:b w:val="0"/>
          <w:bCs w:val="0"/>
          <w:sz w:val="24"/>
          <w:szCs w:val="24"/>
        </w:rPr>
        <w:t xml:space="preserve">Exception: </w:t>
      </w:r>
      <w:r w:rsidR="009A7700" w:rsidRPr="00F869C3">
        <w:rPr>
          <w:rFonts w:ascii="Arial" w:hAnsi="Arial" w:cs="Arial"/>
          <w:b w:val="0"/>
          <w:bCs w:val="0"/>
          <w:sz w:val="24"/>
          <w:szCs w:val="24"/>
        </w:rPr>
        <w:t>unless you have been newly diagnosed with a disability after the relevant deadline.</w:t>
      </w:r>
    </w:p>
    <w:p w14:paraId="396B9DB7" w14:textId="3C6130C1" w:rsidR="00BD532E" w:rsidRPr="009D0EF9" w:rsidRDefault="00717223" w:rsidP="009D0EF9">
      <w:pPr>
        <w:pStyle w:val="Heading2"/>
      </w:pPr>
      <w:r>
        <w:t>2. Initiate</w:t>
      </w:r>
      <w:r w:rsidR="00207110" w:rsidRPr="009D0EF9">
        <w:t xml:space="preserve"> your Appeal Inquiry</w:t>
      </w:r>
      <w:r w:rsidR="00230005">
        <w:t xml:space="preserve"> to the ADA Coordinator as follows:</w:t>
      </w:r>
    </w:p>
    <w:p w14:paraId="3C2A6D25" w14:textId="77777777" w:rsidR="009D0EF9" w:rsidRPr="009D0EF9" w:rsidRDefault="009D0EF9" w:rsidP="009D0EF9">
      <w:pPr>
        <w:numPr>
          <w:ilvl w:val="0"/>
          <w:numId w:val="8"/>
        </w:numPr>
        <w:rPr>
          <w:rFonts w:ascii="Calibri" w:hAnsi="Calibri"/>
        </w:rPr>
      </w:pPr>
      <w:r w:rsidRPr="009D0EF9">
        <w:rPr>
          <w:rFonts w:cs="Arial"/>
        </w:rPr>
        <w:t>Log into MySlice</w:t>
      </w:r>
    </w:p>
    <w:p w14:paraId="42AA09D2" w14:textId="77777777" w:rsidR="009D0EF9" w:rsidRPr="009D0EF9" w:rsidRDefault="009D0EF9" w:rsidP="009D0EF9">
      <w:pPr>
        <w:numPr>
          <w:ilvl w:val="0"/>
          <w:numId w:val="8"/>
        </w:numPr>
      </w:pPr>
      <w:r w:rsidRPr="009D0EF9">
        <w:rPr>
          <w:rFonts w:cs="Arial"/>
        </w:rPr>
        <w:t xml:space="preserve">Select </w:t>
      </w:r>
      <w:proofErr w:type="spellStart"/>
      <w:r w:rsidRPr="009D0EF9">
        <w:rPr>
          <w:rFonts w:cs="Arial"/>
        </w:rPr>
        <w:t>eForms</w:t>
      </w:r>
      <w:proofErr w:type="spellEnd"/>
    </w:p>
    <w:p w14:paraId="10478DEA" w14:textId="0CF35E81" w:rsidR="009D0EF9" w:rsidRPr="009D0EF9" w:rsidRDefault="009D0EF9" w:rsidP="009D0EF9">
      <w:pPr>
        <w:numPr>
          <w:ilvl w:val="0"/>
          <w:numId w:val="8"/>
        </w:numPr>
      </w:pPr>
      <w:r w:rsidRPr="009D0EF9">
        <w:rPr>
          <w:rFonts w:cs="Arial"/>
        </w:rPr>
        <w:t xml:space="preserve">Select </w:t>
      </w:r>
      <w:r w:rsidR="00C951B4">
        <w:rPr>
          <w:rFonts w:cs="Arial"/>
        </w:rPr>
        <w:t xml:space="preserve">People and Culture </w:t>
      </w:r>
      <w:r w:rsidRPr="009D0EF9">
        <w:rPr>
          <w:rFonts w:cs="Arial"/>
        </w:rPr>
        <w:t>drop down arrow</w:t>
      </w:r>
    </w:p>
    <w:p w14:paraId="241C0E92" w14:textId="77777777" w:rsidR="009D0EF9" w:rsidRPr="009D0EF9" w:rsidRDefault="009D0EF9" w:rsidP="009D0EF9">
      <w:pPr>
        <w:numPr>
          <w:ilvl w:val="0"/>
          <w:numId w:val="8"/>
        </w:numPr>
      </w:pPr>
      <w:r w:rsidRPr="009D0EF9">
        <w:rPr>
          <w:rFonts w:cs="Arial"/>
        </w:rPr>
        <w:t>Select the Student Appeal Form</w:t>
      </w:r>
    </w:p>
    <w:p w14:paraId="6367B23B" w14:textId="77777777" w:rsidR="009D0EF9" w:rsidRPr="009D0EF9" w:rsidRDefault="009D0EF9" w:rsidP="009D0EF9">
      <w:pPr>
        <w:numPr>
          <w:ilvl w:val="0"/>
          <w:numId w:val="8"/>
        </w:numPr>
      </w:pPr>
      <w:r w:rsidRPr="009D0EF9">
        <w:rPr>
          <w:rFonts w:cs="Arial"/>
        </w:rPr>
        <w:t>Complete the form and submit</w:t>
      </w:r>
    </w:p>
    <w:p w14:paraId="0F318EC9" w14:textId="4DF05E13" w:rsidR="009D0EF9" w:rsidRPr="00113139" w:rsidRDefault="009D0EF9" w:rsidP="009D0EF9">
      <w:pPr>
        <w:numPr>
          <w:ilvl w:val="0"/>
          <w:numId w:val="8"/>
        </w:numPr>
      </w:pPr>
      <w:r w:rsidRPr="009D0EF9">
        <w:rPr>
          <w:rFonts w:cs="Arial"/>
        </w:rPr>
        <w:t>We will contact you once you have submitted your electronic request</w:t>
      </w:r>
    </w:p>
    <w:p w14:paraId="20F74D5B" w14:textId="4A88531B" w:rsidR="00113139" w:rsidRPr="009D0EF9" w:rsidRDefault="00113139" w:rsidP="00E60AF0">
      <w:pPr>
        <w:spacing w:before="120"/>
      </w:pPr>
      <w:r>
        <w:rPr>
          <w:rFonts w:cs="Arial"/>
        </w:rPr>
        <w:t xml:space="preserve">Please note that if </w:t>
      </w:r>
      <w:r>
        <w:t>a period of 30 days passes without you being responsive to communications from the ADA coordinator, your appeal will be considered resolved in favor of the CDR decision.</w:t>
      </w:r>
    </w:p>
    <w:p w14:paraId="7E456ACA" w14:textId="2FFCEE7B" w:rsidR="0038448C" w:rsidRDefault="00717223" w:rsidP="0038448C">
      <w:pPr>
        <w:pStyle w:val="Heading2"/>
      </w:pPr>
      <w:r>
        <w:t>3</w:t>
      </w:r>
      <w:r w:rsidR="009D0EF9">
        <w:t xml:space="preserve">. </w:t>
      </w:r>
      <w:r w:rsidR="0038448C">
        <w:t>Identify Your Basis for Appeal</w:t>
      </w:r>
    </w:p>
    <w:p w14:paraId="481EC21D" w14:textId="23A091B1" w:rsidR="0038448C" w:rsidRDefault="0038448C" w:rsidP="0038448C">
      <w:pPr>
        <w:spacing w:after="120"/>
      </w:pPr>
      <w:bookmarkStart w:id="0" w:name="_Hlk201065000"/>
      <w:r>
        <w:t xml:space="preserve">You must identify a basis for your appeal from </w:t>
      </w:r>
      <w:r w:rsidR="00230005">
        <w:t>two</w:t>
      </w:r>
      <w:r>
        <w:t xml:space="preserve"> possibilities:</w:t>
      </w:r>
    </w:p>
    <w:p w14:paraId="5F09C0C1" w14:textId="77777777" w:rsidR="0038448C" w:rsidRPr="00C919F3" w:rsidRDefault="0038448C" w:rsidP="0038448C">
      <w:pPr>
        <w:pStyle w:val="ListParagraph"/>
        <w:numPr>
          <w:ilvl w:val="0"/>
          <w:numId w:val="7"/>
        </w:numPr>
      </w:pPr>
      <w:r>
        <w:t>T</w:t>
      </w:r>
      <w:r w:rsidRPr="00C919F3">
        <w:t>he C</w:t>
      </w:r>
      <w:r>
        <w:t xml:space="preserve">DR did </w:t>
      </w:r>
      <w:r w:rsidRPr="00C919F3">
        <w:t>not follow its established practices for determining a reasonable accommodation</w:t>
      </w:r>
      <w:r>
        <w:t>.</w:t>
      </w:r>
    </w:p>
    <w:p w14:paraId="3F204682" w14:textId="06689DA1" w:rsidR="0038448C" w:rsidRPr="00C919F3" w:rsidRDefault="00230005" w:rsidP="0038448C">
      <w:pPr>
        <w:pStyle w:val="ListParagraph"/>
        <w:numPr>
          <w:ilvl w:val="0"/>
          <w:numId w:val="7"/>
        </w:numPr>
      </w:pPr>
      <w:r>
        <w:t xml:space="preserve">You </w:t>
      </w:r>
      <w:r w:rsidR="0038448C" w:rsidRPr="00C919F3">
        <w:t xml:space="preserve">have new, relevant information that was not available at the time the </w:t>
      </w:r>
      <w:r w:rsidR="0038448C">
        <w:t>CDR</w:t>
      </w:r>
      <w:r w:rsidR="0038448C" w:rsidRPr="00C919F3">
        <w:t xml:space="preserve"> decision was made</w:t>
      </w:r>
      <w:r w:rsidR="0038448C">
        <w:t>.</w:t>
      </w:r>
    </w:p>
    <w:p w14:paraId="7B9713BC" w14:textId="5E4DC9EC" w:rsidR="0038448C" w:rsidRDefault="0038448C" w:rsidP="00E82812">
      <w:pPr>
        <w:spacing w:before="120"/>
      </w:pPr>
      <w:r>
        <w:lastRenderedPageBreak/>
        <w:t>Please note that a</w:t>
      </w:r>
      <w:r w:rsidRPr="0038448C">
        <w:t xml:space="preserve"> request for a different accommodation than what you requested from the CDR is not a basis for appeal. </w:t>
      </w:r>
      <w:r>
        <w:t>Also, d</w:t>
      </w:r>
      <w:r w:rsidRPr="0038448C">
        <w:t>isagreeing with the decision of the CDR is not a basis for appeal.</w:t>
      </w:r>
    </w:p>
    <w:bookmarkEnd w:id="0"/>
    <w:p w14:paraId="6D606236" w14:textId="78441F10" w:rsidR="004D588C" w:rsidRPr="0014218D" w:rsidRDefault="008B3424" w:rsidP="00207110">
      <w:pPr>
        <w:pStyle w:val="Heading1"/>
      </w:pPr>
      <w:r>
        <w:t>T</w:t>
      </w:r>
      <w:r w:rsidR="002F45B3">
        <w:t xml:space="preserve">he </w:t>
      </w:r>
      <w:r w:rsidR="004D588C" w:rsidRPr="0014218D">
        <w:t>Appeal</w:t>
      </w:r>
      <w:r w:rsidR="002F45B3">
        <w:t xml:space="preserve"> Process</w:t>
      </w:r>
    </w:p>
    <w:p w14:paraId="25A4A755" w14:textId="0849071E" w:rsidR="004D588C" w:rsidRPr="0076449A" w:rsidRDefault="002F45B3" w:rsidP="00E60AF0">
      <w:pPr>
        <w:spacing w:after="120"/>
      </w:pPr>
      <w:bookmarkStart w:id="1" w:name="_Hlk201065142"/>
      <w:r>
        <w:t>T</w:t>
      </w:r>
      <w:r w:rsidR="004D588C" w:rsidRPr="0076449A">
        <w:t>he ADA Coordinator will</w:t>
      </w:r>
      <w:r w:rsidR="00230005">
        <w:t>:</w:t>
      </w:r>
    </w:p>
    <w:p w14:paraId="478F5021" w14:textId="77777777" w:rsidR="00230005" w:rsidRDefault="00230005" w:rsidP="00113139">
      <w:pPr>
        <w:pStyle w:val="ListParagraph"/>
        <w:numPr>
          <w:ilvl w:val="0"/>
          <w:numId w:val="6"/>
        </w:numPr>
      </w:pPr>
      <w:r>
        <w:t>Offer you an opportunity to meet virtually with the ADA Coordinator if you have questions about the process.</w:t>
      </w:r>
    </w:p>
    <w:p w14:paraId="738C5E7A" w14:textId="2DA5AA9F" w:rsidR="009427E3" w:rsidRDefault="002F45B3" w:rsidP="00113139">
      <w:pPr>
        <w:pStyle w:val="ListParagraph"/>
        <w:numPr>
          <w:ilvl w:val="0"/>
          <w:numId w:val="6"/>
        </w:numPr>
      </w:pPr>
      <w:r>
        <w:t xml:space="preserve">Build a case file of </w:t>
      </w:r>
      <w:r w:rsidR="00113139">
        <w:t>the documents you submitted to the CDR, notes from CDR meetings with you, notes from your communications with the ADA Coordinator, and any new documentation you may provide to the ADA Coordinator.</w:t>
      </w:r>
    </w:p>
    <w:p w14:paraId="4C52FC2D" w14:textId="04A77B7F" w:rsidR="00113139" w:rsidRPr="0076449A" w:rsidRDefault="00113139" w:rsidP="00113139">
      <w:pPr>
        <w:pStyle w:val="ListParagraph"/>
        <w:numPr>
          <w:ilvl w:val="0"/>
          <w:numId w:val="6"/>
        </w:numPr>
      </w:pPr>
      <w:r>
        <w:t>Contact you with questions</w:t>
      </w:r>
      <w:r w:rsidR="00FD7BEC">
        <w:t xml:space="preserve"> if clarification is needed</w:t>
      </w:r>
      <w:r>
        <w:t>.</w:t>
      </w:r>
    </w:p>
    <w:p w14:paraId="729B2BEF" w14:textId="284945AC" w:rsidR="00BD532E" w:rsidRDefault="004D78E0" w:rsidP="00207110">
      <w:pPr>
        <w:pStyle w:val="ListParagraph"/>
        <w:numPr>
          <w:ilvl w:val="0"/>
          <w:numId w:val="6"/>
        </w:numPr>
      </w:pPr>
      <w:r>
        <w:t>Occasionally, and only with your consent, s</w:t>
      </w:r>
      <w:r w:rsidR="004D588C" w:rsidRPr="0076449A">
        <w:t>peak</w:t>
      </w:r>
      <w:r w:rsidR="0014218D" w:rsidRPr="0076449A">
        <w:t xml:space="preserve"> or otherwise communicate with</w:t>
      </w:r>
      <w:r w:rsidR="00BD532E" w:rsidRPr="0076449A">
        <w:t xml:space="preserve"> </w:t>
      </w:r>
      <w:r w:rsidR="00113139">
        <w:t xml:space="preserve">your </w:t>
      </w:r>
      <w:r w:rsidR="00BD532E" w:rsidRPr="0076449A">
        <w:t>medica</w:t>
      </w:r>
      <w:r w:rsidR="000D5B13">
        <w:t>l providers</w:t>
      </w:r>
      <w:r>
        <w:t xml:space="preserve"> </w:t>
      </w:r>
      <w:r w:rsidR="0014218D" w:rsidRPr="0076449A">
        <w:t>who have directly relevant information</w:t>
      </w:r>
      <w:r w:rsidR="00113139">
        <w:t>.</w:t>
      </w:r>
    </w:p>
    <w:p w14:paraId="613EEE04" w14:textId="3C086D92" w:rsidR="00113139" w:rsidRDefault="00113139" w:rsidP="00207110">
      <w:pPr>
        <w:pStyle w:val="ListParagraph"/>
        <w:numPr>
          <w:ilvl w:val="0"/>
          <w:numId w:val="6"/>
        </w:numPr>
      </w:pPr>
      <w:r>
        <w:t xml:space="preserve">When the case file is complete, schedule the Appeals </w:t>
      </w:r>
      <w:r w:rsidR="0038448C">
        <w:t>Board</w:t>
      </w:r>
      <w:r>
        <w:t xml:space="preserve"> to review your case.</w:t>
      </w:r>
    </w:p>
    <w:p w14:paraId="402110C1" w14:textId="77777777" w:rsidR="0014218D" w:rsidRDefault="0014218D" w:rsidP="00207110">
      <w:pPr>
        <w:pStyle w:val="Heading1"/>
      </w:pPr>
      <w:bookmarkStart w:id="2" w:name="_Hlk201065320"/>
      <w:bookmarkEnd w:id="1"/>
      <w:r>
        <w:t>Appeal Decision</w:t>
      </w:r>
    </w:p>
    <w:p w14:paraId="4F8CA217" w14:textId="1F1EEF3D" w:rsidR="0014218D" w:rsidRPr="0076449A" w:rsidRDefault="00113139" w:rsidP="00E82812">
      <w:r>
        <w:t xml:space="preserve">The Appeals </w:t>
      </w:r>
      <w:r w:rsidR="00E201D3">
        <w:t>Board</w:t>
      </w:r>
      <w:r>
        <w:t>, comp</w:t>
      </w:r>
      <w:r w:rsidR="00E60AF0">
        <w:t>o</w:t>
      </w:r>
      <w:r>
        <w:t xml:space="preserve">sed of </w:t>
      </w:r>
      <w:r w:rsidR="00717223">
        <w:t xml:space="preserve">three </w:t>
      </w:r>
      <w:r>
        <w:t xml:space="preserve">SU </w:t>
      </w:r>
      <w:r w:rsidR="00717223">
        <w:t>employees</w:t>
      </w:r>
      <w:r>
        <w:t xml:space="preserve"> </w:t>
      </w:r>
      <w:r w:rsidR="00717223">
        <w:t xml:space="preserve">entrusted with </w:t>
      </w:r>
      <w:r>
        <w:t>con</w:t>
      </w:r>
      <w:r w:rsidR="00E60AF0">
        <w:t xml:space="preserve">fidential work, </w:t>
      </w:r>
      <w:r w:rsidR="00FD7BEC">
        <w:t>some</w:t>
      </w:r>
      <w:r w:rsidR="00717223">
        <w:t xml:space="preserve"> of whom have disabilities, </w:t>
      </w:r>
      <w:r w:rsidR="00E60AF0">
        <w:t xml:space="preserve">will </w:t>
      </w:r>
      <w:r w:rsidR="00230005">
        <w:t>review</w:t>
      </w:r>
      <w:r w:rsidR="00E60AF0">
        <w:t xml:space="preserve"> the basis for your appeal, and </w:t>
      </w:r>
      <w:proofErr w:type="gramStart"/>
      <w:r w:rsidR="00E60AF0">
        <w:t>make a decision</w:t>
      </w:r>
      <w:proofErr w:type="gramEnd"/>
      <w:r w:rsidR="00230005">
        <w:t xml:space="preserve"> on </w:t>
      </w:r>
      <w:r w:rsidR="00FD7BEC">
        <w:t>that</w:t>
      </w:r>
      <w:r w:rsidR="00230005">
        <w:t xml:space="preserve"> bas</w:t>
      </w:r>
      <w:r w:rsidR="00FD7BEC">
        <w:t>is</w:t>
      </w:r>
      <w:r w:rsidR="00E60AF0">
        <w:t>.</w:t>
      </w:r>
      <w:r w:rsidR="00230005">
        <w:t xml:space="preserve"> For instance, if you have </w:t>
      </w:r>
      <w:r w:rsidR="00FD7BEC">
        <w:t>established a basis that</w:t>
      </w:r>
      <w:r w:rsidR="00230005">
        <w:t xml:space="preserve"> the CDR</w:t>
      </w:r>
      <w:r w:rsidR="00FD7BEC">
        <w:t xml:space="preserve"> did not follow established practices</w:t>
      </w:r>
      <w:r w:rsidR="00230005">
        <w:t xml:space="preserve">, then </w:t>
      </w:r>
      <w:r w:rsidR="007E7767">
        <w:t xml:space="preserve">the </w:t>
      </w:r>
      <w:r w:rsidR="00230005">
        <w:t xml:space="preserve">Appeals Board will </w:t>
      </w:r>
      <w:proofErr w:type="gramStart"/>
      <w:r w:rsidR="00230005">
        <w:t>make a determination</w:t>
      </w:r>
      <w:proofErr w:type="gramEnd"/>
      <w:r w:rsidR="00230005">
        <w:t xml:space="preserve"> whether the CDR followed its established practices. If they have, the Board </w:t>
      </w:r>
      <w:r w:rsidR="007E7767">
        <w:t>will</w:t>
      </w:r>
      <w:r w:rsidR="00230005">
        <w:t xml:space="preserve"> affirm the CDR decision. If the CDR has not, </w:t>
      </w:r>
      <w:r w:rsidR="00FD7BEC">
        <w:t>the Board</w:t>
      </w:r>
      <w:r w:rsidR="00230005">
        <w:t xml:space="preserve"> will reverse the CDR decision. </w:t>
      </w:r>
      <w:r w:rsidR="0014218D" w:rsidRPr="0076449A">
        <w:t>A formal letter will be sent to you informing you of the decision</w:t>
      </w:r>
      <w:r w:rsidR="00E60AF0">
        <w:t xml:space="preserve"> </w:t>
      </w:r>
      <w:r w:rsidR="00717223">
        <w:t xml:space="preserve">of the </w:t>
      </w:r>
      <w:r w:rsidR="00230005">
        <w:t xml:space="preserve">Appeals </w:t>
      </w:r>
      <w:r w:rsidR="00717223">
        <w:t xml:space="preserve">Board </w:t>
      </w:r>
      <w:r w:rsidR="00DF1F91">
        <w:t>usually within two business days</w:t>
      </w:r>
      <w:r w:rsidR="00717223">
        <w:t>.</w:t>
      </w:r>
    </w:p>
    <w:p w14:paraId="61332E5C" w14:textId="77777777" w:rsidR="0014218D" w:rsidRDefault="0014218D" w:rsidP="00207110">
      <w:pPr>
        <w:pStyle w:val="Heading1"/>
      </w:pPr>
      <w:r>
        <w:t>Timeline</w:t>
      </w:r>
    </w:p>
    <w:p w14:paraId="44C51518" w14:textId="4943E587" w:rsidR="00E82812" w:rsidRDefault="00BD532E" w:rsidP="00207110">
      <w:r w:rsidRPr="00207110">
        <w:t xml:space="preserve">This process can take 3 to 4 weeks, depending on such factors as caseload of the ADA Coordinator and </w:t>
      </w:r>
      <w:r w:rsidR="00E60AF0">
        <w:t>A</w:t>
      </w:r>
      <w:r w:rsidR="00C919F3" w:rsidRPr="00207110">
        <w:t xml:space="preserve">ppeals </w:t>
      </w:r>
      <w:r w:rsidR="00E201D3">
        <w:t>Board</w:t>
      </w:r>
      <w:r w:rsidRPr="00207110">
        <w:t xml:space="preserve">, </w:t>
      </w:r>
      <w:r w:rsidR="0028256A">
        <w:t>and</w:t>
      </w:r>
      <w:r w:rsidR="000D5B13" w:rsidRPr="00207110">
        <w:t xml:space="preserve"> </w:t>
      </w:r>
      <w:r w:rsidR="00DF1F91" w:rsidRPr="00207110">
        <w:t>the availability of pertinent information</w:t>
      </w:r>
      <w:r w:rsidR="00DF1F91">
        <w:t xml:space="preserve">; and </w:t>
      </w:r>
      <w:r w:rsidR="000D5B13" w:rsidRPr="00207110">
        <w:t>may take longer</w:t>
      </w:r>
      <w:r w:rsidR="00DF1F91">
        <w:t>.</w:t>
      </w:r>
      <w:bookmarkEnd w:id="2"/>
    </w:p>
    <w:p w14:paraId="28595533" w14:textId="77777777" w:rsidR="00E82812" w:rsidRDefault="00E82812" w:rsidP="007E7767">
      <w:pPr>
        <w:pStyle w:val="Heading1"/>
      </w:pPr>
      <w:r>
        <w:t>Student Appeal Basis Guidance</w:t>
      </w:r>
    </w:p>
    <w:p w14:paraId="05907414" w14:textId="77777777" w:rsidR="00E82812" w:rsidRPr="00936AB6" w:rsidRDefault="00E82812" w:rsidP="00E82812">
      <w:pPr>
        <w:pStyle w:val="Default"/>
        <w:spacing w:before="120" w:after="120"/>
        <w:rPr>
          <w:rFonts w:ascii="Arial" w:hAnsi="Arial" w:cs="Arial"/>
        </w:rPr>
      </w:pPr>
      <w:r w:rsidRPr="00936AB6">
        <w:rPr>
          <w:rFonts w:ascii="Arial" w:hAnsi="Arial" w:cs="Arial"/>
        </w:rPr>
        <w:t>For a student to appeal the denial of an accommodation request by the Center for Disability Resources (CDR), the student must establish the basis for their appeal.</w:t>
      </w:r>
    </w:p>
    <w:p w14:paraId="11C1E08F" w14:textId="77777777" w:rsidR="00E82812" w:rsidRDefault="00E82812" w:rsidP="00E82812">
      <w:pPr>
        <w:pStyle w:val="Heading1"/>
      </w:pPr>
      <w:r>
        <w:t>Important Notes</w:t>
      </w:r>
    </w:p>
    <w:p w14:paraId="55D097C1" w14:textId="77777777" w:rsidR="00E82812" w:rsidRDefault="00E82812" w:rsidP="00E82812">
      <w:pPr>
        <w:pStyle w:val="ListParagraph"/>
        <w:numPr>
          <w:ilvl w:val="0"/>
          <w:numId w:val="9"/>
        </w:numPr>
        <w:autoSpaceDE w:val="0"/>
        <w:autoSpaceDN w:val="0"/>
        <w:adjustRightInd w:val="0"/>
        <w:spacing w:before="120" w:after="120"/>
      </w:pPr>
      <w:r w:rsidRPr="001C01DE">
        <w:t xml:space="preserve">The University is committed to providing reasonable accommodations in accordance with the ADA and Section 504 to ensure equal access to educational programs and services. While accommodations are designed to support student access, they must not fundamentally alter the nature of a program or impose undue burden. Therefore, although students' preferences are carefully </w:t>
      </w:r>
      <w:r w:rsidRPr="001C01DE">
        <w:lastRenderedPageBreak/>
        <w:t>considered, the University may offer alternative accommodations that are equally effective.</w:t>
      </w:r>
    </w:p>
    <w:p w14:paraId="3E5A9DBB" w14:textId="77777777" w:rsidR="00E82812" w:rsidRDefault="00E82812" w:rsidP="00E82812">
      <w:pPr>
        <w:pStyle w:val="ListParagraph"/>
        <w:numPr>
          <w:ilvl w:val="0"/>
          <w:numId w:val="9"/>
        </w:numPr>
        <w:autoSpaceDE w:val="0"/>
        <w:autoSpaceDN w:val="0"/>
        <w:adjustRightInd w:val="0"/>
        <w:spacing w:before="120" w:after="120"/>
      </w:pPr>
      <w:r w:rsidRPr="00B31DBE">
        <w:t xml:space="preserve">A request for a different accommodation than what you requested from the CDR is not a basis for appeal. </w:t>
      </w:r>
      <w:r>
        <w:t>But you may request that from the CDR.</w:t>
      </w:r>
    </w:p>
    <w:p w14:paraId="3561E7E0" w14:textId="77777777" w:rsidR="00E82812" w:rsidRDefault="00E82812" w:rsidP="00E82812">
      <w:pPr>
        <w:pStyle w:val="ListParagraph"/>
        <w:numPr>
          <w:ilvl w:val="0"/>
          <w:numId w:val="9"/>
        </w:numPr>
        <w:autoSpaceDE w:val="0"/>
        <w:autoSpaceDN w:val="0"/>
        <w:adjustRightInd w:val="0"/>
        <w:spacing w:before="120" w:after="120"/>
      </w:pPr>
      <w:r w:rsidRPr="00B31DBE">
        <w:t>Additionally, disagreeing with the decision of the CDR is not a basis for appeal.</w:t>
      </w:r>
    </w:p>
    <w:p w14:paraId="08094728" w14:textId="77777777" w:rsidR="00E82812" w:rsidRPr="00B31DBE" w:rsidRDefault="00E82812" w:rsidP="00E82812">
      <w:r w:rsidRPr="00B31DBE">
        <w:t xml:space="preserve">There are </w:t>
      </w:r>
      <w:r>
        <w:t>2</w:t>
      </w:r>
      <w:r w:rsidRPr="00B31DBE">
        <w:t xml:space="preserve"> bases for appeal. Please review this guidance carefully.</w:t>
      </w:r>
    </w:p>
    <w:p w14:paraId="66FB87A5" w14:textId="77777777" w:rsidR="00E82812" w:rsidRDefault="00E82812" w:rsidP="00E82812">
      <w:pPr>
        <w:pStyle w:val="Heading1"/>
      </w:pPr>
      <w:r>
        <w:t>Bases for an Appeal</w:t>
      </w:r>
    </w:p>
    <w:p w14:paraId="5A8FB508" w14:textId="77777777" w:rsidR="00E82812" w:rsidRPr="00DF068C" w:rsidRDefault="00E82812" w:rsidP="00E82812">
      <w:pPr>
        <w:pStyle w:val="Heading2"/>
      </w:pPr>
      <w:r w:rsidRPr="00DF068C">
        <w:t xml:space="preserve">1. Process Error: The CDR did not follow its established practices for determining a reasonable accommodation. </w:t>
      </w:r>
    </w:p>
    <w:p w14:paraId="5620E9EB" w14:textId="77777777" w:rsidR="00E82812" w:rsidRPr="008D0885" w:rsidRDefault="00E82812" w:rsidP="00E82812">
      <w:pPr>
        <w:spacing w:after="120"/>
      </w:pPr>
      <w:r w:rsidRPr="008D0885">
        <w:t>CDR is required to engage in a</w:t>
      </w:r>
      <w:r>
        <w:t xml:space="preserve"> case-by-case</w:t>
      </w:r>
      <w:r w:rsidRPr="008D0885">
        <w:t xml:space="preserve"> interactive process with you to determine whether you </w:t>
      </w:r>
      <w:r>
        <w:t>are a qualified student with</w:t>
      </w:r>
      <w:r w:rsidRPr="008D0885">
        <w:t xml:space="preserve"> a disability and its impact on you, and to identify reasonable accommodations (</w:t>
      </w:r>
      <w:r>
        <w:t>e.g</w:t>
      </w:r>
      <w:r w:rsidRPr="008D0885">
        <w:t xml:space="preserve">., appropriate academic adjustments, auxiliary aids and services, </w:t>
      </w:r>
      <w:r>
        <w:t xml:space="preserve">housing </w:t>
      </w:r>
      <w:r w:rsidRPr="008D0885">
        <w:t xml:space="preserve">modifications) that will remove barriers and afford you </w:t>
      </w:r>
      <w:r>
        <w:t xml:space="preserve">an </w:t>
      </w:r>
      <w:r w:rsidRPr="008D0885">
        <w:t xml:space="preserve">equal </w:t>
      </w:r>
      <w:r>
        <w:t>opportunity to participate in</w:t>
      </w:r>
      <w:r w:rsidRPr="008D0885">
        <w:t xml:space="preserve"> SU programs, services, and activities. Their staff will review all documentation you submit and engage with you in this process through in-person and/or virtual or phone meetings, and/or email exchanges. If CDR staff determine that they cannot approve one or more of your requested accommodations, they will offer alternative accommodations and/or provide you with information about SU services that can assist you to manage the barriers you encounter</w:t>
      </w:r>
      <w:r>
        <w:t>.</w:t>
      </w:r>
      <w:r>
        <w:rPr>
          <w:rStyle w:val="FootnoteReference"/>
        </w:rPr>
        <w:footnoteReference w:id="1"/>
      </w:r>
    </w:p>
    <w:p w14:paraId="47BAB96F" w14:textId="77777777" w:rsidR="00E82812" w:rsidRDefault="00E82812" w:rsidP="00E82812">
      <w:pPr>
        <w:spacing w:after="120"/>
      </w:pPr>
      <w:bookmarkStart w:id="3" w:name="_Hlk201065579"/>
      <w:r w:rsidRPr="008D0885">
        <w:t xml:space="preserve">Basis for Appeal: If </w:t>
      </w:r>
      <w:r>
        <w:t xml:space="preserve">you believe the </w:t>
      </w:r>
      <w:r w:rsidRPr="008D0885">
        <w:t>CDR has not engaged in this process as described above, then you have a basis for appeal that the CDR did not follow its established practices.</w:t>
      </w:r>
    </w:p>
    <w:p w14:paraId="6168A1BA" w14:textId="33CAAC36" w:rsidR="00E82812" w:rsidRPr="008D0885" w:rsidRDefault="00E82812" w:rsidP="00E82812">
      <w:r w:rsidRPr="001769AD">
        <w:rPr>
          <w:b/>
          <w:bCs/>
        </w:rPr>
        <w:t>How to present your basis:</w:t>
      </w:r>
      <w:r>
        <w:t xml:space="preserve"> Prepare a paragraph </w:t>
      </w:r>
      <w:r w:rsidR="00D46064">
        <w:t>explaining</w:t>
      </w:r>
      <w:r>
        <w:t xml:space="preserve"> how the process you received varied from the process described above</w:t>
      </w:r>
      <w:r w:rsidR="00D46064">
        <w:t xml:space="preserve"> or omitted important elements</w:t>
      </w:r>
      <w:r>
        <w:t>.</w:t>
      </w:r>
    </w:p>
    <w:bookmarkEnd w:id="3"/>
    <w:p w14:paraId="06114493" w14:textId="77777777" w:rsidR="00E82812" w:rsidRDefault="00E82812" w:rsidP="00E82812">
      <w:pPr>
        <w:pStyle w:val="Heading2"/>
      </w:pPr>
      <w:r>
        <w:t xml:space="preserve">2. New Information: I have new, relevant information that was not available at the time the CDR decision was made. </w:t>
      </w:r>
    </w:p>
    <w:p w14:paraId="5F80735F" w14:textId="3EEF9E76" w:rsidR="00E82812" w:rsidRDefault="00E82812" w:rsidP="00B47A69">
      <w:pPr>
        <w:spacing w:after="120"/>
      </w:pPr>
      <w:bookmarkStart w:id="4" w:name="_Hlk201065643"/>
      <w:r>
        <w:t>Basis for Appeal: If you have supplemental documentation that was not available at the time of the CDR decision and that describes disability conditions or barriers that were not described by prior documentation that the CDR received from you, you have a basis for appeal.</w:t>
      </w:r>
    </w:p>
    <w:p w14:paraId="5DD6F7A6" w14:textId="0939982B" w:rsidR="00E82812" w:rsidRPr="00936AB6" w:rsidRDefault="00E82812" w:rsidP="00B47A69">
      <w:pPr>
        <w:spacing w:after="120"/>
      </w:pPr>
      <w:r w:rsidRPr="001769AD">
        <w:rPr>
          <w:b/>
          <w:bCs/>
        </w:rPr>
        <w:t>How to present your basis:</w:t>
      </w:r>
      <w:r>
        <w:t xml:space="preserve"> Provide a copy of the new information and prepare a paragraph explaining why you believe the CDR would have made a different decision if </w:t>
      </w:r>
      <w:r w:rsidR="00B47A69">
        <w:t>they</w:t>
      </w:r>
      <w:r>
        <w:t xml:space="preserve"> had had this information.</w:t>
      </w:r>
    </w:p>
    <w:bookmarkEnd w:id="4"/>
    <w:p w14:paraId="088B0FEF" w14:textId="77777777" w:rsidR="007E7767" w:rsidRDefault="007E7767" w:rsidP="007E7767">
      <w:pPr>
        <w:pStyle w:val="Heading1"/>
      </w:pPr>
      <w:r>
        <w:t>Important Notes</w:t>
      </w:r>
    </w:p>
    <w:p w14:paraId="3ED45F2E" w14:textId="77777777" w:rsidR="007E7767" w:rsidRDefault="007E7767" w:rsidP="007E7767">
      <w:pPr>
        <w:pStyle w:val="ListParagraph"/>
        <w:numPr>
          <w:ilvl w:val="0"/>
          <w:numId w:val="11"/>
        </w:numPr>
        <w:spacing w:before="120" w:afterLines="27" w:after="64" w:line="250" w:lineRule="auto"/>
      </w:pPr>
      <w:r>
        <w:t>Appeals Board decisions are final.</w:t>
      </w:r>
    </w:p>
    <w:p w14:paraId="7D541DAB" w14:textId="77777777" w:rsidR="00FD7BEC" w:rsidRPr="00FD7BEC" w:rsidRDefault="00FD7BEC" w:rsidP="00FD7BEC">
      <w:pPr>
        <w:pStyle w:val="ListParagraph"/>
        <w:numPr>
          <w:ilvl w:val="0"/>
          <w:numId w:val="11"/>
        </w:numPr>
        <w:spacing w:after="160" w:line="259" w:lineRule="auto"/>
        <w:rPr>
          <w:rFonts w:cs="Arial"/>
        </w:rPr>
      </w:pPr>
      <w:r w:rsidRPr="00FD7BEC">
        <w:rPr>
          <w:rFonts w:cs="Arial"/>
        </w:rPr>
        <w:lastRenderedPageBreak/>
        <w:t>If, at any point during the accommodation process, you believe you were treated unfairly based on a protected characteristic — such as your disability, race, gender, religion, or other protected status — you may file a complaint with the Office of Equal Opportunity, Inclusion, and Resolution Services (EOIRS). The complaint process is designed to ensure that actions taken throughout the accommodation process align with the university’s policies and your rights under applicable laws.</w:t>
      </w:r>
    </w:p>
    <w:p w14:paraId="1F0317F1" w14:textId="77777777" w:rsidR="00FD7BEC" w:rsidRPr="00FD7BEC" w:rsidRDefault="00FD7BEC" w:rsidP="00FD7BEC">
      <w:pPr>
        <w:pStyle w:val="ListParagraph"/>
        <w:numPr>
          <w:ilvl w:val="0"/>
          <w:numId w:val="11"/>
        </w:numPr>
        <w:spacing w:after="160" w:line="259" w:lineRule="auto"/>
        <w:rPr>
          <w:rFonts w:cs="Arial"/>
        </w:rPr>
      </w:pPr>
      <w:r w:rsidRPr="00FD7BEC">
        <w:rPr>
          <w:rFonts w:cs="Arial"/>
        </w:rPr>
        <w:t>However, concerns about the decision itself — such as whether your requested accommodation was properly evaluated or determined — should be addressed through the university’s ADA accommodation review or appeal process. The discrimination complaint process does not re-evaluate or reverse accommodation decisions.</w:t>
      </w:r>
    </w:p>
    <w:p w14:paraId="2716937D" w14:textId="0EC360FB" w:rsidR="00E82812" w:rsidRPr="00993FA9" w:rsidRDefault="00FD7BEC" w:rsidP="00207110">
      <w:pPr>
        <w:pStyle w:val="ListParagraph"/>
        <w:numPr>
          <w:ilvl w:val="0"/>
          <w:numId w:val="11"/>
        </w:numPr>
        <w:spacing w:after="160" w:line="259" w:lineRule="auto"/>
        <w:rPr>
          <w:rFonts w:cs="Arial"/>
        </w:rPr>
      </w:pPr>
      <w:r w:rsidRPr="00FD7BEC">
        <w:rPr>
          <w:rFonts w:cs="Arial"/>
        </w:rPr>
        <w:t xml:space="preserve">For more information, please visit the EOIRS website at </w:t>
      </w:r>
      <w:hyperlink r:id="rId7" w:history="1">
        <w:r w:rsidRPr="00FD7BEC">
          <w:rPr>
            <w:rStyle w:val="Hyperlink"/>
            <w:rFonts w:cs="Arial"/>
          </w:rPr>
          <w:t>https://inclusion.syr.edu/report/</w:t>
        </w:r>
      </w:hyperlink>
    </w:p>
    <w:sectPr w:rsidR="00E82812" w:rsidRPr="00993FA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A340A" w14:textId="77777777" w:rsidR="005415D6" w:rsidRDefault="005415D6" w:rsidP="00207110">
      <w:r>
        <w:separator/>
      </w:r>
    </w:p>
  </w:endnote>
  <w:endnote w:type="continuationSeparator" w:id="0">
    <w:p w14:paraId="5AA63BB9" w14:textId="77777777" w:rsidR="005415D6" w:rsidRDefault="005415D6" w:rsidP="0020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124609"/>
      <w:docPartObj>
        <w:docPartGallery w:val="Page Numbers (Bottom of Page)"/>
        <w:docPartUnique/>
      </w:docPartObj>
    </w:sdtPr>
    <w:sdtEndPr>
      <w:rPr>
        <w:color w:val="7F7F7F" w:themeColor="background1" w:themeShade="7F"/>
        <w:spacing w:val="60"/>
      </w:rPr>
    </w:sdtEndPr>
    <w:sdtContent>
      <w:p w14:paraId="72D31110" w14:textId="29E0B2DE" w:rsidR="005415D6" w:rsidRPr="00B46714" w:rsidRDefault="00B46714" w:rsidP="00B4671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Pr>
            <w:color w:val="7F7F7F" w:themeColor="background1" w:themeShade="7F"/>
            <w:spacing w:val="60"/>
          </w:rPr>
          <w:tab/>
        </w:r>
        <w:r w:rsidR="004A24DE">
          <w:rPr>
            <w:color w:val="7F7F7F" w:themeColor="background1" w:themeShade="7F"/>
            <w:spacing w:val="60"/>
          </w:rPr>
          <w:t xml:space="preserve">                           </w:t>
        </w:r>
        <w:r>
          <w:t xml:space="preserve">Appeal Process &amp; Guidance – </w:t>
        </w:r>
        <w:r w:rsidR="00D46064">
          <w:t>March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98A36" w14:textId="77777777" w:rsidR="005415D6" w:rsidRDefault="005415D6" w:rsidP="00207110">
      <w:r>
        <w:separator/>
      </w:r>
    </w:p>
  </w:footnote>
  <w:footnote w:type="continuationSeparator" w:id="0">
    <w:p w14:paraId="71304EBC" w14:textId="77777777" w:rsidR="005415D6" w:rsidRDefault="005415D6" w:rsidP="00207110">
      <w:r>
        <w:continuationSeparator/>
      </w:r>
    </w:p>
  </w:footnote>
  <w:footnote w:id="1">
    <w:p w14:paraId="1AE789FA" w14:textId="77777777" w:rsidR="00E82812" w:rsidRDefault="00E82812" w:rsidP="00E82812">
      <w:pPr>
        <w:pStyle w:val="FootnoteText"/>
      </w:pPr>
      <w:r>
        <w:rPr>
          <w:rStyle w:val="FootnoteReference"/>
        </w:rPr>
        <w:footnoteRef/>
      </w:r>
      <w:r>
        <w:t xml:space="preserve"> Sonoma State University </w:t>
      </w:r>
      <w:hyperlink r:id="rId1" w:history="1">
        <w:r w:rsidRPr="00AD2FAC">
          <w:rPr>
            <w:rStyle w:val="Hyperlink"/>
          </w:rPr>
          <w:t>Resolution Agreement</w:t>
        </w:r>
      </w:hyperlink>
      <w:r>
        <w:t xml:space="preserve"> (Apr. 3, 2023); Kent State University </w:t>
      </w:r>
      <w:hyperlink r:id="rId2" w:history="1">
        <w:r w:rsidRPr="00290306">
          <w:rPr>
            <w:rStyle w:val="Hyperlink"/>
          </w:rPr>
          <w:t>Resolution Agreement</w:t>
        </w:r>
      </w:hyperlink>
      <w:r>
        <w:t xml:space="preserve"> (Apr. 20,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5B5"/>
    <w:multiLevelType w:val="hybridMultilevel"/>
    <w:tmpl w:val="3E12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D2105"/>
    <w:multiLevelType w:val="hybridMultilevel"/>
    <w:tmpl w:val="CBE0C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A180E"/>
    <w:multiLevelType w:val="hybridMultilevel"/>
    <w:tmpl w:val="1D40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077B2"/>
    <w:multiLevelType w:val="hybridMultilevel"/>
    <w:tmpl w:val="5772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591C"/>
    <w:multiLevelType w:val="hybridMultilevel"/>
    <w:tmpl w:val="B3520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567A6"/>
    <w:multiLevelType w:val="hybridMultilevel"/>
    <w:tmpl w:val="C890C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708779B"/>
    <w:multiLevelType w:val="multilevel"/>
    <w:tmpl w:val="731C9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8B1094"/>
    <w:multiLevelType w:val="hybridMultilevel"/>
    <w:tmpl w:val="6A2A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0E2A16"/>
    <w:multiLevelType w:val="hybridMultilevel"/>
    <w:tmpl w:val="8D3CA0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89662B"/>
    <w:multiLevelType w:val="hybridMultilevel"/>
    <w:tmpl w:val="D63AFA3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76809">
    <w:abstractNumId w:val="5"/>
  </w:num>
  <w:num w:numId="2" w16cid:durableId="1053039783">
    <w:abstractNumId w:val="5"/>
  </w:num>
  <w:num w:numId="3" w16cid:durableId="2132042877">
    <w:abstractNumId w:val="3"/>
  </w:num>
  <w:num w:numId="4" w16cid:durableId="763957072">
    <w:abstractNumId w:val="1"/>
  </w:num>
  <w:num w:numId="5" w16cid:durableId="1437825985">
    <w:abstractNumId w:val="2"/>
  </w:num>
  <w:num w:numId="6" w16cid:durableId="2082487178">
    <w:abstractNumId w:val="7"/>
  </w:num>
  <w:num w:numId="7" w16cid:durableId="300355744">
    <w:abstractNumId w:val="9"/>
  </w:num>
  <w:num w:numId="8" w16cid:durableId="380325985">
    <w:abstractNumId w:val="6"/>
  </w:num>
  <w:num w:numId="9" w16cid:durableId="642924173">
    <w:abstractNumId w:val="8"/>
  </w:num>
  <w:num w:numId="10" w16cid:durableId="1122770462">
    <w:abstractNumId w:val="4"/>
  </w:num>
  <w:num w:numId="11" w16cid:durableId="45298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32E"/>
    <w:rsid w:val="000D5B13"/>
    <w:rsid w:val="00113139"/>
    <w:rsid w:val="0014218D"/>
    <w:rsid w:val="00190CD4"/>
    <w:rsid w:val="001E29EB"/>
    <w:rsid w:val="00207110"/>
    <w:rsid w:val="00230005"/>
    <w:rsid w:val="00271B01"/>
    <w:rsid w:val="0028256A"/>
    <w:rsid w:val="002F45B3"/>
    <w:rsid w:val="0038448C"/>
    <w:rsid w:val="00392FD4"/>
    <w:rsid w:val="003A525F"/>
    <w:rsid w:val="004310E5"/>
    <w:rsid w:val="00491CDB"/>
    <w:rsid w:val="004A24DE"/>
    <w:rsid w:val="004D588C"/>
    <w:rsid w:val="004D78E0"/>
    <w:rsid w:val="00513CEA"/>
    <w:rsid w:val="005326EF"/>
    <w:rsid w:val="005415D6"/>
    <w:rsid w:val="005A5441"/>
    <w:rsid w:val="005B125F"/>
    <w:rsid w:val="00637185"/>
    <w:rsid w:val="006911DA"/>
    <w:rsid w:val="00717223"/>
    <w:rsid w:val="007633A9"/>
    <w:rsid w:val="0076449A"/>
    <w:rsid w:val="007E7767"/>
    <w:rsid w:val="007F39AB"/>
    <w:rsid w:val="008369AE"/>
    <w:rsid w:val="008755E7"/>
    <w:rsid w:val="008B3424"/>
    <w:rsid w:val="008D7EF7"/>
    <w:rsid w:val="009427E3"/>
    <w:rsid w:val="00993FA9"/>
    <w:rsid w:val="009A7700"/>
    <w:rsid w:val="009D0EF9"/>
    <w:rsid w:val="009F7A94"/>
    <w:rsid w:val="00A52637"/>
    <w:rsid w:val="00AB08EF"/>
    <w:rsid w:val="00AB189B"/>
    <w:rsid w:val="00B46714"/>
    <w:rsid w:val="00B47A69"/>
    <w:rsid w:val="00B55A39"/>
    <w:rsid w:val="00BA22FF"/>
    <w:rsid w:val="00BD532E"/>
    <w:rsid w:val="00C318D4"/>
    <w:rsid w:val="00C565C3"/>
    <w:rsid w:val="00C919F3"/>
    <w:rsid w:val="00C951B4"/>
    <w:rsid w:val="00C95611"/>
    <w:rsid w:val="00CE4E4D"/>
    <w:rsid w:val="00CF01E2"/>
    <w:rsid w:val="00D1204C"/>
    <w:rsid w:val="00D46064"/>
    <w:rsid w:val="00DF1F91"/>
    <w:rsid w:val="00E201D3"/>
    <w:rsid w:val="00E60AF0"/>
    <w:rsid w:val="00E82812"/>
    <w:rsid w:val="00F143BC"/>
    <w:rsid w:val="00F17189"/>
    <w:rsid w:val="00F869C3"/>
    <w:rsid w:val="00FD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D868"/>
  <w15:chartTrackingRefBased/>
  <w15:docId w15:val="{DFFFADF6-54E9-44D5-88AA-C956AEFB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10"/>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07110"/>
    <w:pPr>
      <w:keepNext/>
      <w:keepLines/>
      <w:spacing w:before="240" w:after="120"/>
      <w:outlineLvl w:val="0"/>
    </w:pPr>
    <w:rPr>
      <w:rFonts w:asciiTheme="majorHAnsi" w:eastAsiaTheme="majorEastAsia" w:hAnsiTheme="majorHAnsi" w:cstheme="majorBidi"/>
      <w:sz w:val="32"/>
      <w:szCs w:val="32"/>
      <w:u w:val="single"/>
    </w:rPr>
  </w:style>
  <w:style w:type="paragraph" w:styleId="Heading2">
    <w:name w:val="heading 2"/>
    <w:basedOn w:val="Normal"/>
    <w:next w:val="Normal"/>
    <w:link w:val="Heading2Char"/>
    <w:uiPriority w:val="9"/>
    <w:unhideWhenUsed/>
    <w:qFormat/>
    <w:rsid w:val="009D0EF9"/>
    <w:pPr>
      <w:keepNext/>
      <w:keepLines/>
      <w:spacing w:before="120" w:after="12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415D6"/>
    <w:pPr>
      <w:keepNext/>
      <w:keepLines/>
      <w:spacing w:before="4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32E"/>
    <w:pPr>
      <w:ind w:left="720"/>
    </w:pPr>
  </w:style>
  <w:style w:type="character" w:customStyle="1" w:styleId="Heading1Char">
    <w:name w:val="Heading 1 Char"/>
    <w:basedOn w:val="DefaultParagraphFont"/>
    <w:link w:val="Heading1"/>
    <w:uiPriority w:val="9"/>
    <w:rsid w:val="00207110"/>
    <w:rPr>
      <w:rFonts w:asciiTheme="majorHAnsi" w:eastAsiaTheme="majorEastAsia" w:hAnsiTheme="majorHAnsi" w:cstheme="majorBidi"/>
      <w:sz w:val="32"/>
      <w:szCs w:val="32"/>
      <w:u w:val="single"/>
    </w:rPr>
  </w:style>
  <w:style w:type="character" w:styleId="Hyperlink">
    <w:name w:val="Hyperlink"/>
    <w:basedOn w:val="DefaultParagraphFont"/>
    <w:uiPriority w:val="99"/>
    <w:unhideWhenUsed/>
    <w:rsid w:val="00BD532E"/>
    <w:rPr>
      <w:color w:val="0563C1" w:themeColor="hyperlink"/>
      <w:u w:val="single"/>
    </w:rPr>
  </w:style>
  <w:style w:type="character" w:customStyle="1" w:styleId="Heading2Char">
    <w:name w:val="Heading 2 Char"/>
    <w:basedOn w:val="DefaultParagraphFont"/>
    <w:link w:val="Heading2"/>
    <w:uiPriority w:val="9"/>
    <w:rsid w:val="009D0EF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415D6"/>
    <w:rPr>
      <w:rFonts w:asciiTheme="majorHAnsi" w:eastAsiaTheme="majorEastAsia" w:hAnsiTheme="majorHAnsi" w:cstheme="majorBidi"/>
      <w:sz w:val="24"/>
      <w:szCs w:val="24"/>
    </w:rPr>
  </w:style>
  <w:style w:type="paragraph" w:styleId="Header">
    <w:name w:val="header"/>
    <w:basedOn w:val="Normal"/>
    <w:link w:val="HeaderChar"/>
    <w:uiPriority w:val="99"/>
    <w:unhideWhenUsed/>
    <w:rsid w:val="005415D6"/>
    <w:pPr>
      <w:tabs>
        <w:tab w:val="center" w:pos="4680"/>
        <w:tab w:val="right" w:pos="9360"/>
      </w:tabs>
    </w:pPr>
  </w:style>
  <w:style w:type="character" w:customStyle="1" w:styleId="HeaderChar">
    <w:name w:val="Header Char"/>
    <w:basedOn w:val="DefaultParagraphFont"/>
    <w:link w:val="Header"/>
    <w:uiPriority w:val="99"/>
    <w:rsid w:val="005415D6"/>
    <w:rPr>
      <w:rFonts w:ascii="Calibri" w:eastAsia="Times New Roman" w:hAnsi="Calibri" w:cs="Times New Roman"/>
    </w:rPr>
  </w:style>
  <w:style w:type="paragraph" w:styleId="Footer">
    <w:name w:val="footer"/>
    <w:basedOn w:val="Normal"/>
    <w:link w:val="FooterChar"/>
    <w:uiPriority w:val="99"/>
    <w:unhideWhenUsed/>
    <w:rsid w:val="005415D6"/>
    <w:pPr>
      <w:tabs>
        <w:tab w:val="center" w:pos="4680"/>
        <w:tab w:val="right" w:pos="9360"/>
      </w:tabs>
    </w:pPr>
  </w:style>
  <w:style w:type="character" w:customStyle="1" w:styleId="FooterChar">
    <w:name w:val="Footer Char"/>
    <w:basedOn w:val="DefaultParagraphFont"/>
    <w:link w:val="Footer"/>
    <w:uiPriority w:val="99"/>
    <w:rsid w:val="005415D6"/>
    <w:rPr>
      <w:rFonts w:ascii="Calibri" w:eastAsia="Times New Roman" w:hAnsi="Calibri" w:cs="Times New Roman"/>
    </w:rPr>
  </w:style>
  <w:style w:type="character" w:styleId="UnresolvedMention">
    <w:name w:val="Unresolved Mention"/>
    <w:basedOn w:val="DefaultParagraphFont"/>
    <w:uiPriority w:val="99"/>
    <w:semiHidden/>
    <w:unhideWhenUsed/>
    <w:rsid w:val="00F17189"/>
    <w:rPr>
      <w:color w:val="605E5C"/>
      <w:shd w:val="clear" w:color="auto" w:fill="E1DFDD"/>
    </w:rPr>
  </w:style>
  <w:style w:type="paragraph" w:styleId="Title">
    <w:name w:val="Title"/>
    <w:basedOn w:val="Normal"/>
    <w:next w:val="Normal"/>
    <w:link w:val="TitleChar"/>
    <w:uiPriority w:val="10"/>
    <w:qFormat/>
    <w:rsid w:val="002071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10"/>
    <w:rPr>
      <w:rFonts w:asciiTheme="majorHAnsi" w:eastAsiaTheme="majorEastAsia" w:hAnsiTheme="majorHAnsi" w:cstheme="majorBidi"/>
      <w:spacing w:val="-10"/>
      <w:kern w:val="28"/>
      <w:sz w:val="56"/>
      <w:szCs w:val="56"/>
    </w:rPr>
  </w:style>
  <w:style w:type="paragraph" w:customStyle="1" w:styleId="Default">
    <w:name w:val="Default"/>
    <w:rsid w:val="00E82812"/>
    <w:pPr>
      <w:autoSpaceDE w:val="0"/>
      <w:autoSpaceDN w:val="0"/>
      <w:adjustRightInd w:val="0"/>
      <w:spacing w:after="0" w:line="240" w:lineRule="auto"/>
    </w:pPr>
    <w:rPr>
      <w:rFonts w:ascii="Symbol" w:eastAsia="Times New Roman" w:hAnsi="Symbol" w:cs="Symbol"/>
      <w:color w:val="000000"/>
      <w:sz w:val="24"/>
      <w:szCs w:val="24"/>
    </w:rPr>
  </w:style>
  <w:style w:type="paragraph" w:styleId="FootnoteText">
    <w:name w:val="footnote text"/>
    <w:basedOn w:val="Normal"/>
    <w:link w:val="FootnoteTextChar"/>
    <w:uiPriority w:val="99"/>
    <w:semiHidden/>
    <w:unhideWhenUsed/>
    <w:rsid w:val="00E82812"/>
    <w:pPr>
      <w:autoSpaceDE w:val="0"/>
      <w:autoSpaceDN w:val="0"/>
      <w:adjustRightInd w:val="0"/>
    </w:pPr>
    <w:rPr>
      <w:rFonts w:cs="Arial"/>
      <w:color w:val="000000"/>
      <w:sz w:val="20"/>
      <w:szCs w:val="20"/>
    </w:rPr>
  </w:style>
  <w:style w:type="character" w:customStyle="1" w:styleId="FootnoteTextChar">
    <w:name w:val="Footnote Text Char"/>
    <w:basedOn w:val="DefaultParagraphFont"/>
    <w:link w:val="FootnoteText"/>
    <w:uiPriority w:val="99"/>
    <w:semiHidden/>
    <w:rsid w:val="00E82812"/>
    <w:rPr>
      <w:rFonts w:ascii="Arial" w:eastAsia="Times New Roman" w:hAnsi="Arial" w:cs="Arial"/>
      <w:color w:val="000000"/>
      <w:sz w:val="20"/>
      <w:szCs w:val="20"/>
    </w:rPr>
  </w:style>
  <w:style w:type="character" w:styleId="FootnoteReference">
    <w:name w:val="footnote reference"/>
    <w:basedOn w:val="DefaultParagraphFont"/>
    <w:uiPriority w:val="99"/>
    <w:semiHidden/>
    <w:unhideWhenUsed/>
    <w:rsid w:val="00E828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517698">
      <w:bodyDiv w:val="1"/>
      <w:marLeft w:val="0"/>
      <w:marRight w:val="0"/>
      <w:marTop w:val="0"/>
      <w:marBottom w:val="0"/>
      <w:divBdr>
        <w:top w:val="none" w:sz="0" w:space="0" w:color="auto"/>
        <w:left w:val="none" w:sz="0" w:space="0" w:color="auto"/>
        <w:bottom w:val="none" w:sz="0" w:space="0" w:color="auto"/>
        <w:right w:val="none" w:sz="0" w:space="0" w:color="auto"/>
      </w:divBdr>
    </w:div>
    <w:div w:id="784613195">
      <w:bodyDiv w:val="1"/>
      <w:marLeft w:val="0"/>
      <w:marRight w:val="0"/>
      <w:marTop w:val="0"/>
      <w:marBottom w:val="0"/>
      <w:divBdr>
        <w:top w:val="none" w:sz="0" w:space="0" w:color="auto"/>
        <w:left w:val="none" w:sz="0" w:space="0" w:color="auto"/>
        <w:bottom w:val="none" w:sz="0" w:space="0" w:color="auto"/>
        <w:right w:val="none" w:sz="0" w:space="0" w:color="auto"/>
      </w:divBdr>
      <w:divsChild>
        <w:div w:id="180362019">
          <w:marLeft w:val="360"/>
          <w:marRight w:val="0"/>
          <w:marTop w:val="0"/>
          <w:marBottom w:val="240"/>
          <w:divBdr>
            <w:top w:val="none" w:sz="0" w:space="0" w:color="auto"/>
            <w:left w:val="none" w:sz="0" w:space="0" w:color="auto"/>
            <w:bottom w:val="none" w:sz="0" w:space="0" w:color="auto"/>
            <w:right w:val="none" w:sz="0" w:space="0" w:color="auto"/>
          </w:divBdr>
        </w:div>
      </w:divsChild>
    </w:div>
    <w:div w:id="157327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clusion.syr.edu/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ed.gov/about/offices/list/ocr/docs/investigations/more/15212136-b.pdf" TargetMode="External"/><Relationship Id="rId1" Type="http://schemas.openxmlformats.org/officeDocument/2006/relationships/hyperlink" Target="https://www2.ed.gov/about/offices/list/ocr/docs/investigations/more/09232070-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1123</Words>
  <Characters>6021</Characters>
  <Application>Microsoft Office Word</Application>
  <DocSecurity>4</DocSecurity>
  <Lines>119</Lines>
  <Paragraphs>53</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Norton Myhill</dc:creator>
  <cp:keywords/>
  <dc:description/>
  <cp:lastModifiedBy>Paula Possenti-Perez</cp:lastModifiedBy>
  <cp:revision>2</cp:revision>
  <dcterms:created xsi:type="dcterms:W3CDTF">2026-03-05T15:22:00Z</dcterms:created>
  <dcterms:modified xsi:type="dcterms:W3CDTF">2026-03-05T15:22:00Z</dcterms:modified>
</cp:coreProperties>
</file>